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43CC" w14:textId="6017A71B" w:rsidR="00051E59" w:rsidRPr="00051E59" w:rsidRDefault="00000000" w:rsidP="00051E59">
      <w:pPr>
        <w:pStyle w:val="Ttulo"/>
        <w:spacing w:before="0"/>
        <w:ind w:left="0" w:right="0" w:firstLine="0"/>
        <w:jc w:val="center"/>
      </w:pPr>
      <w:r w:rsidRPr="00051E59">
        <w:t xml:space="preserve">CONVOCATORIA No. </w:t>
      </w:r>
      <w:r w:rsidR="00051E59" w:rsidRPr="00051E59">
        <w:t>XXXXX-XXXXX-XXXXXX-XX</w:t>
      </w:r>
    </w:p>
    <w:p w14:paraId="425EF4F0" w14:textId="06728DA8" w:rsidR="005B2C04" w:rsidRPr="00051E59" w:rsidRDefault="00000000" w:rsidP="00051E59">
      <w:pPr>
        <w:pStyle w:val="Ttulo"/>
        <w:spacing w:before="0"/>
        <w:ind w:left="0" w:right="0" w:firstLine="0"/>
        <w:jc w:val="center"/>
      </w:pPr>
      <w:r w:rsidRPr="00051E59">
        <w:t>ANEXO 4 — PACTO DE TRANSPARENCIA</w:t>
      </w:r>
    </w:p>
    <w:p w14:paraId="4FE769C9" w14:textId="77777777" w:rsidR="005B2C04" w:rsidRPr="00051E59" w:rsidRDefault="005B2C04" w:rsidP="00051E59">
      <w:pPr>
        <w:pStyle w:val="Textoindependiente"/>
        <w:ind w:left="0"/>
        <w:rPr>
          <w:b/>
        </w:rPr>
      </w:pPr>
    </w:p>
    <w:p w14:paraId="7BD2329C" w14:textId="77777777" w:rsidR="005B2C04" w:rsidRPr="00051E59" w:rsidRDefault="00000000" w:rsidP="00051E59">
      <w:pPr>
        <w:pStyle w:val="Textoindependiente"/>
        <w:spacing w:line="242" w:lineRule="auto"/>
        <w:ind w:left="0"/>
      </w:pPr>
      <w:r w:rsidRPr="00051E59">
        <w:t>El presente documento hace parte integral de los Documentos del Proceso y con la carta de presentación de la propuesta el Proponente se compromete a:</w:t>
      </w:r>
    </w:p>
    <w:p w14:paraId="49EC8EC5" w14:textId="77777777" w:rsidR="005B2C04" w:rsidRPr="00051E59" w:rsidRDefault="005B2C04" w:rsidP="00051E59">
      <w:pPr>
        <w:pStyle w:val="Textoindependiente"/>
        <w:ind w:left="0"/>
        <w:rPr>
          <w:sz w:val="19"/>
        </w:rPr>
      </w:pPr>
    </w:p>
    <w:p w14:paraId="482B0FE5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Cumplir estrictamente la Ley aplicable.</w:t>
      </w:r>
    </w:p>
    <w:p w14:paraId="542D571A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Interpretar de buena fe las normas aplicables a los Procesos de Contratación de manera que siempre produzcan los efectos buscados por las mismas.</w:t>
      </w:r>
    </w:p>
    <w:p w14:paraId="005789DA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No incurrir en faltas a la verdad o adulteración en los documentos o requisitos exigidos en el Proceso de Contratación.</w:t>
      </w:r>
    </w:p>
    <w:p w14:paraId="4BDC0A1F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Igualmente se acepta que, durante la evaluación de las propuestas del Proceso de Contratación, primen los aspectos de fondo por encima de la forma, buscando siempre favorecer la libre competencia.</w:t>
      </w:r>
    </w:p>
    <w:p w14:paraId="679E282D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Hacer un estudio completo del proyecto y de los documentos del proceso de contratación, así como realizar estudios y análisis propios, bajo mi responsabilidad y con la debida diligencia, a fin de contar con los elementos de juicio e información económica, comercial, jurídica y técnica relevante y necesaria para tomar una decisión sustentada para presentar la propuesta. Lo anterior, con el propósito de que la misma sea seria y honesta, de tal manera que me permita participar en el Proceso de Contratación y en caso de resultar adjudicatario me permita ejecutar todas las obligaciones contenidas en el Contrato, así como asumir los riesgos a mi cargo asociados a la ejecución de este.</w:t>
      </w:r>
    </w:p>
    <w:p w14:paraId="54914BA9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No hacer arreglos previos, concomitantes o posteriores al proceso de contratación, con los encargados de planear el proceso para tratar de conocer, influenciar o manipular la información del proyecto y presentar la respectiva propuesta.</w:t>
      </w:r>
    </w:p>
    <w:p w14:paraId="26850E9C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No hacer arreglos previos, concomitantes o posteriores al proceso de contratación, con otros Proponentes para tratar de influenciar o manipular los resultados de la adjudicación.</w:t>
      </w:r>
    </w:p>
    <w:p w14:paraId="70F67F44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Enviar por escrito a la entidad todas las preguntas o inquietudes que surjan durante el proceso de contratación y no hacerlo de manera oral por ningún medio, salvo que se realicen dentro de las audiencias públicas.</w:t>
      </w:r>
    </w:p>
    <w:p w14:paraId="7B40E21F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Actuar con lealtad hacia los demás proponentes, así como frente a la entidad y abstenernos de utilizar herramientas para dilatar o sabotear el proceso de contratación. Igualmente, las observaciones al proceso de contratación o a las propuestas de los otros interesados, serán presentadas oportunamente, en los plazos y términos fijados estrictamente en las reglas de la selección.</w:t>
      </w:r>
    </w:p>
    <w:p w14:paraId="2B16F0AC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Abstenernos de hacer manifestaciones orales o escritas en contra de los demás proponentes y sus propuestas sin contar con evidencia, material probatorio o indicios sólidos, que razonablemente permitan considerar que existe un acto irregular, de competencia desleal o de corrupción por parte de ellos. En caso de tener las pruebas, material probatorio o indicios, estos se dejarán a inmediata disposición de la entidad para corroborar tales afirmaciones.</w:t>
      </w:r>
    </w:p>
    <w:p w14:paraId="68A1B694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No utilizar en la etapa de verificación y evaluación de las propuestas, argumentos carentes de sustento probatorio para efectos de buscar la descalificación de competidores o la dilación del proceso de selección.</w:t>
      </w:r>
    </w:p>
    <w:p w14:paraId="5C9D2C59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En las audiencias guardar compostura, no levantar la voz y hacer uso de la palabra únicamente cuando sea concedida y por el tiempo que sea concedida; y acatar las decisiones de la Entidad. En caso de desacuerdo interponer los recursos o acciones que se consideren pertinentes en los términos de la ley aplicable.</w:t>
      </w:r>
    </w:p>
    <w:p w14:paraId="4D37210B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En las audiencias, abstenernos de proferir juicios de valor contra personas naturales o jurídicas, ni referirnos a asuntos personales de otros proponentes. Por lo tanto, en las audiencias solamente debatiremos asuntos relacionados con el proceso de contratación</w:t>
      </w:r>
    </w:p>
    <w:p w14:paraId="4E368CCD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Solicitar o remitir a la entidad, o a sus funcionarios y contratistas, cualquier información utilizando solamente los procesos y canales previstos en el proceso de contratación.</w:t>
      </w:r>
    </w:p>
    <w:p w14:paraId="5542B01D" w14:textId="2FFD4FAC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t xml:space="preserve">No ofrecer trabajo, contratos o algún tipo de beneficio económico o de cualquier otra </w:t>
      </w:r>
      <w:r w:rsidRPr="00051E59">
        <w:lastRenderedPageBreak/>
        <w:t>naturaleza a ningún funcionario público, contratista o estructurador, vinculado a la entidad ni a sus familiares en primer grado de consanguinidad, segundo de afinidad o primero civil, a partir de la adjudicación o con ocasión de la misma, y hasta dos (2) años siguientes a la suscripción del Contrato, sin perjuicio del régimen de conflictos de intereses y de inhabilidades e incompatibilidades previsto en la Constitución y en la ley.</w:t>
      </w:r>
    </w:p>
    <w:p w14:paraId="6EC8FF76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Exigir a nuestros empleados, proveedores y subcontratistas relacionados con el proyecto, suscribir un pacto ético de conducta que garantice la probidad y transparencia de las actuaciones de todos los involucrados en la preparación de la propuesta y en la ejecución del contrato.</w:t>
      </w:r>
    </w:p>
    <w:p w14:paraId="5691B67F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No ofrecer gratificaciones o atenciones en dinero o en especie, ni financiar, patrocinar, auspiciar o promover directa o indirectamente fiestas, recepciones, homenajes o cualquier tipo de atenciones sociales a funcionarios públicos o contratistas del estado, durante el proceso de contratación ni durante la ejecución o liquidación del contrato.</w:t>
      </w:r>
    </w:p>
    <w:p w14:paraId="07659D7D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No contratar, ni ofrecer dádivas, regalos o gratificaciones a personas con alta capacidad de influencia política o mediática, con el objeto de obtener citas o influir o presionar las decisiones que la entidad tome respecto de procesos de contratación estatal, bien sea en su adjudicación, supervisión o terminación.</w:t>
      </w:r>
    </w:p>
    <w:p w14:paraId="27495AB3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La entidad siempre se manifestará sobre las inquietudes relacionadas con el proceso de selección por los canales definidos en los documentos del proceso.</w:t>
      </w:r>
    </w:p>
    <w:p w14:paraId="1B23B709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No contratar ni ofrecer dádivas, regalos, gratificaciones, contratos o cualquier tipo de beneficio económico o de cualquier naturaleza, a servidores de la Entidad o sus asesores, o del equipo estructurador, con el fin de tener asesoramiento o acceso a información privilegiada, relacionada con el proceso de selección.</w:t>
      </w:r>
    </w:p>
    <w:p w14:paraId="319C5600" w14:textId="77777777" w:rsid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Dar conocimiento a la entidad y a las autoridades competentes en caso de presentarse alguna queja o denuncia sobre la ocurrencia de un acto de corrupción durante el proceso de contratación o con cargo al contrato, y del conocimiento que tenga sobre posibles pagos o beneficios ofrecidos u otorgados.</w:t>
      </w:r>
    </w:p>
    <w:p w14:paraId="04344482" w14:textId="559C167D" w:rsidR="005B2C04" w:rsidRPr="00051E59" w:rsidRDefault="00000000" w:rsidP="00051E5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567" w:right="0" w:hanging="567"/>
        <w:jc w:val="both"/>
        <w:rPr>
          <w:sz w:val="20"/>
        </w:rPr>
      </w:pPr>
      <w:r w:rsidRPr="00051E59">
        <w:rPr>
          <w:sz w:val="20"/>
        </w:rPr>
        <w:t>Denunciar de manera inmediata ante las autoridades competentes, cualquier solicitud, ofrecimiento, favor, dádiva, prerrogativa, recompensa, gratificación o atención social, efectuada por Proponentes o cualquiera de sus empleados, administradores, consultores o contratistas, a funcionarios públicos o a sus asesores que estén directa o indirectamente involucrados en la estructuración, manejo y decisiones del proceso de selección, de manera previa, concomitante o posterior al mismo, que tengan la intención de inducir o direccionar alguna decisión relacionada  con la adjudicación.</w:t>
      </w:r>
    </w:p>
    <w:sectPr w:rsidR="005B2C04" w:rsidRPr="00051E59" w:rsidSect="00051E59">
      <w:pgSz w:w="12240" w:h="15840"/>
      <w:pgMar w:top="1701" w:right="1701" w:bottom="170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426F0"/>
    <w:multiLevelType w:val="hybridMultilevel"/>
    <w:tmpl w:val="BE4C00D4"/>
    <w:lvl w:ilvl="0" w:tplc="2CA63128">
      <w:start w:val="1"/>
      <w:numFmt w:val="lowerRoman"/>
      <w:lvlText w:val="%1."/>
      <w:lvlJc w:val="left"/>
      <w:pPr>
        <w:ind w:left="784" w:hanging="444"/>
        <w:jc w:val="right"/>
      </w:pPr>
      <w:rPr>
        <w:rFonts w:ascii="Arial" w:eastAsia="Arial" w:hAnsi="Arial" w:cs="Arial" w:hint="default"/>
        <w:b/>
        <w:bCs/>
        <w:spacing w:val="0"/>
        <w:w w:val="77"/>
        <w:sz w:val="20"/>
        <w:szCs w:val="20"/>
        <w:lang w:val="es-CO" w:eastAsia="en-US" w:bidi="ar-SA"/>
      </w:rPr>
    </w:lvl>
    <w:lvl w:ilvl="1" w:tplc="F2F682E6">
      <w:numFmt w:val="bullet"/>
      <w:lvlText w:val="•"/>
      <w:lvlJc w:val="left"/>
      <w:pPr>
        <w:ind w:left="1626" w:hanging="444"/>
      </w:pPr>
      <w:rPr>
        <w:rFonts w:hint="default"/>
        <w:lang w:val="es-CO" w:eastAsia="en-US" w:bidi="ar-SA"/>
      </w:rPr>
    </w:lvl>
    <w:lvl w:ilvl="2" w:tplc="44B2E32E">
      <w:numFmt w:val="bullet"/>
      <w:lvlText w:val="•"/>
      <w:lvlJc w:val="left"/>
      <w:pPr>
        <w:ind w:left="2472" w:hanging="444"/>
      </w:pPr>
      <w:rPr>
        <w:rFonts w:hint="default"/>
        <w:lang w:val="es-CO" w:eastAsia="en-US" w:bidi="ar-SA"/>
      </w:rPr>
    </w:lvl>
    <w:lvl w:ilvl="3" w:tplc="F2E6FEBA">
      <w:numFmt w:val="bullet"/>
      <w:lvlText w:val="•"/>
      <w:lvlJc w:val="left"/>
      <w:pPr>
        <w:ind w:left="3318" w:hanging="444"/>
      </w:pPr>
      <w:rPr>
        <w:rFonts w:hint="default"/>
        <w:lang w:val="es-CO" w:eastAsia="en-US" w:bidi="ar-SA"/>
      </w:rPr>
    </w:lvl>
    <w:lvl w:ilvl="4" w:tplc="C3485BAE">
      <w:numFmt w:val="bullet"/>
      <w:lvlText w:val="•"/>
      <w:lvlJc w:val="left"/>
      <w:pPr>
        <w:ind w:left="4164" w:hanging="444"/>
      </w:pPr>
      <w:rPr>
        <w:rFonts w:hint="default"/>
        <w:lang w:val="es-CO" w:eastAsia="en-US" w:bidi="ar-SA"/>
      </w:rPr>
    </w:lvl>
    <w:lvl w:ilvl="5" w:tplc="7D78CD0A">
      <w:numFmt w:val="bullet"/>
      <w:lvlText w:val="•"/>
      <w:lvlJc w:val="left"/>
      <w:pPr>
        <w:ind w:left="5010" w:hanging="444"/>
      </w:pPr>
      <w:rPr>
        <w:rFonts w:hint="default"/>
        <w:lang w:val="es-CO" w:eastAsia="en-US" w:bidi="ar-SA"/>
      </w:rPr>
    </w:lvl>
    <w:lvl w:ilvl="6" w:tplc="B6A20D68">
      <w:numFmt w:val="bullet"/>
      <w:lvlText w:val="•"/>
      <w:lvlJc w:val="left"/>
      <w:pPr>
        <w:ind w:left="5856" w:hanging="444"/>
      </w:pPr>
      <w:rPr>
        <w:rFonts w:hint="default"/>
        <w:lang w:val="es-CO" w:eastAsia="en-US" w:bidi="ar-SA"/>
      </w:rPr>
    </w:lvl>
    <w:lvl w:ilvl="7" w:tplc="961C5134">
      <w:numFmt w:val="bullet"/>
      <w:lvlText w:val="•"/>
      <w:lvlJc w:val="left"/>
      <w:pPr>
        <w:ind w:left="6702" w:hanging="444"/>
      </w:pPr>
      <w:rPr>
        <w:rFonts w:hint="default"/>
        <w:lang w:val="es-CO" w:eastAsia="en-US" w:bidi="ar-SA"/>
      </w:rPr>
    </w:lvl>
    <w:lvl w:ilvl="8" w:tplc="BBAE7EAE">
      <w:numFmt w:val="bullet"/>
      <w:lvlText w:val="•"/>
      <w:lvlJc w:val="left"/>
      <w:pPr>
        <w:ind w:left="7548" w:hanging="444"/>
      </w:pPr>
      <w:rPr>
        <w:rFonts w:hint="default"/>
        <w:lang w:val="es-CO" w:eastAsia="en-US" w:bidi="ar-SA"/>
      </w:rPr>
    </w:lvl>
  </w:abstractNum>
  <w:num w:numId="1" w16cid:durableId="98084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C04"/>
    <w:rsid w:val="00051E59"/>
    <w:rsid w:val="005B2C04"/>
    <w:rsid w:val="00C4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A470"/>
  <w15:docId w15:val="{F565DB9A-6609-405E-ACB0-C73F4E4B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84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9"/>
      <w:ind w:left="3409" w:right="2470" w:hanging="96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56"/>
      <w:ind w:left="784" w:right="122" w:hanging="6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1025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MAURICIO FLOREZ</cp:lastModifiedBy>
  <cp:revision>2</cp:revision>
  <dcterms:created xsi:type="dcterms:W3CDTF">2025-06-06T16:05:00Z</dcterms:created>
  <dcterms:modified xsi:type="dcterms:W3CDTF">2025-06-06T16:10:00Z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2025-06-06T00:00:00Z</vt:filetime>
  </property>
</Properties>
</file>